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2FA190F8" wp14:textId="77777777">
      <w:r>
        <w:rPr>
          <w:b/>
          <w:color w:val="1F3864"/>
          <w:sz w:val="40"/>
        </w:rPr>
        <w:t>Project Northstar — Consumer Research Summary</w:t>
      </w:r>
    </w:p>
    <w:p xmlns:wp14="http://schemas.microsoft.com/office/word/2010/wordml" w14:paraId="36E682AE" wp14:textId="77777777">
      <w:r>
        <w:rPr>
          <w:i/>
          <w:color w:val="595959"/>
          <w:sz w:val="21"/>
        </w:rPr>
        <w:t>Prepared by Insights &amp; Analytics  |  July 2026  |  Confidential — Internal Use</w:t>
      </w:r>
    </w:p>
    <w:p xmlns:wp14="http://schemas.microsoft.com/office/word/2010/wordml" w14:paraId="39EC13BE" wp14:textId="77777777">
      <w:pPr>
        <w:spacing w:before="280" w:after="80"/>
      </w:pPr>
      <w:r>
        <w:rPr>
          <w:b/>
          <w:color w:val="1F3864"/>
          <w:sz w:val="27"/>
        </w:rPr>
        <w:t>Purpose</w:t>
      </w:r>
    </w:p>
    <w:p xmlns:wp14="http://schemas.microsoft.com/office/word/2010/wordml" w14:paraId="3058B881" wp14:textId="77777777">
      <w:pPr>
        <w:spacing w:after="120"/>
      </w:pPr>
      <w:r>
        <w:rPr>
          <w:i w:val="0"/>
        </w:rPr>
        <w:t>This summary consolidates findings from three research streams commissioned in Q4 FY26 to test the strategic premise behind the Project Northstar relaunch: that Northstar's category position should shift from price-led to relevance-led. The research was designed to answer three questions — does the target consumer actually value personalization, is the current experience the reason for share loss, and is there enough differentiation available to justify the investment.</w:t>
      </w:r>
    </w:p>
    <w:p xmlns:wp14="http://schemas.microsoft.com/office/word/2010/wordml" w14:paraId="52CDFA90" wp14:textId="77777777">
      <w:pPr>
        <w:spacing w:before="280" w:after="80"/>
      </w:pPr>
      <w:r>
        <w:rPr>
          <w:b/>
          <w:color w:val="1F3864"/>
          <w:sz w:val="27"/>
        </w:rPr>
        <w:t>Methodology</w:t>
      </w:r>
    </w:p>
    <w:tbl>
      <w:tblPr>
        <w:tblStyle w:val="TableGrid"/>
        <w:tblW w:w="0" w:type="auto"/>
        <w:jc w:val="left"/>
        <w:tblLook w:val="04A0" w:firstRow="1" w:lastRow="0" w:firstColumn="1" w:lastColumn="0" w:noHBand="0" w:noVBand="1"/>
      </w:tblPr>
      <w:tblGrid>
        <w:gridCol w:w="2340"/>
        <w:gridCol w:w="2340"/>
        <w:gridCol w:w="2340"/>
        <w:gridCol w:w="2340"/>
      </w:tblGrid>
      <w:tr xmlns:wp14="http://schemas.microsoft.com/office/word/2010/wordml" w14:paraId="635C6FA7" wp14:textId="77777777">
        <w:tc>
          <w:tcPr>
            <w:tcW w:w="3024" w:type="dxa"/>
          </w:tcPr>
          <w:p w14:paraId="4F582179" wp14:textId="77777777">
            <w:r/>
            <w:r>
              <w:rPr>
                <w:b/>
                <w:sz w:val="20"/>
              </w:rPr>
              <w:t>Stream</w:t>
            </w:r>
          </w:p>
        </w:tc>
        <w:tc>
          <w:tcPr>
            <w:tcW w:w="3312" w:type="dxa"/>
          </w:tcPr>
          <w:p w14:paraId="206DFFD0" wp14:textId="77777777">
            <w:r/>
            <w:r>
              <w:rPr>
                <w:b/>
                <w:sz w:val="20"/>
              </w:rPr>
              <w:t>Method</w:t>
            </w:r>
          </w:p>
        </w:tc>
        <w:tc>
          <w:tcPr>
            <w:tcW w:w="1440" w:type="dxa"/>
          </w:tcPr>
          <w:p w14:paraId="3FB8B379" wp14:textId="77777777">
            <w:r/>
            <w:r>
              <w:rPr>
                <w:b/>
                <w:sz w:val="20"/>
              </w:rPr>
              <w:t>n</w:t>
            </w:r>
          </w:p>
        </w:tc>
        <w:tc>
          <w:tcPr>
            <w:tcW w:w="1584" w:type="dxa"/>
          </w:tcPr>
          <w:p w14:paraId="078D4EC8" wp14:textId="77777777">
            <w:r/>
            <w:r>
              <w:rPr>
                <w:b/>
                <w:sz w:val="20"/>
              </w:rPr>
              <w:t>Fielded</w:t>
            </w:r>
          </w:p>
        </w:tc>
      </w:tr>
      <w:tr xmlns:wp14="http://schemas.microsoft.com/office/word/2010/wordml" w14:paraId="2991F8A6" wp14:textId="77777777">
        <w:tc>
          <w:tcPr>
            <w:tcW w:w="3024" w:type="dxa"/>
          </w:tcPr>
          <w:p w14:paraId="00091128" wp14:textId="77777777">
            <w:r/>
            <w:r>
              <w:rPr>
                <w:sz w:val="20"/>
              </w:rPr>
              <w:t>Quantitative segmentation</w:t>
            </w:r>
          </w:p>
        </w:tc>
        <w:tc>
          <w:tcPr>
            <w:tcW w:w="3312" w:type="dxa"/>
          </w:tcPr>
          <w:p w14:paraId="37B16925" wp14:textId="77777777">
            <w:r/>
            <w:r>
              <w:rPr>
                <w:sz w:val="20"/>
              </w:rPr>
              <w:t>Online panel survey, 18 min</w:t>
            </w:r>
          </w:p>
        </w:tc>
        <w:tc>
          <w:tcPr>
            <w:tcW w:w="1440" w:type="dxa"/>
          </w:tcPr>
          <w:p w14:paraId="7C7E36DE" wp14:textId="77777777">
            <w:r/>
            <w:r>
              <w:rPr>
                <w:sz w:val="20"/>
              </w:rPr>
              <w:t>2,400</w:t>
            </w:r>
          </w:p>
        </w:tc>
        <w:tc>
          <w:tcPr>
            <w:tcW w:w="1584" w:type="dxa"/>
          </w:tcPr>
          <w:p w14:paraId="3F54BD85" wp14:textId="77777777">
            <w:r/>
            <w:r>
              <w:rPr>
                <w:sz w:val="20"/>
              </w:rPr>
              <w:t>May 2026</w:t>
            </w:r>
          </w:p>
        </w:tc>
      </w:tr>
      <w:tr xmlns:wp14="http://schemas.microsoft.com/office/word/2010/wordml" w14:paraId="003CF0FA" wp14:textId="77777777">
        <w:tc>
          <w:tcPr>
            <w:tcW w:w="3024" w:type="dxa"/>
          </w:tcPr>
          <w:p w14:paraId="4E3C2D14" wp14:textId="77777777">
            <w:r/>
            <w:r>
              <w:rPr>
                <w:sz w:val="20"/>
              </w:rPr>
              <w:t>Qualitative deep-dive</w:t>
            </w:r>
          </w:p>
        </w:tc>
        <w:tc>
          <w:tcPr>
            <w:tcW w:w="3312" w:type="dxa"/>
          </w:tcPr>
          <w:p w14:paraId="4F216F1A" wp14:textId="77777777">
            <w:r/>
            <w:r>
              <w:rPr>
                <w:sz w:val="20"/>
              </w:rPr>
              <w:t>Digital focus groups, 6 sessions</w:t>
            </w:r>
          </w:p>
        </w:tc>
        <w:tc>
          <w:tcPr>
            <w:tcW w:w="1440" w:type="dxa"/>
          </w:tcPr>
          <w:p w14:paraId="6089FD39" wp14:textId="77777777">
            <w:r/>
            <w:r>
              <w:rPr>
                <w:sz w:val="20"/>
              </w:rPr>
              <w:t>48</w:t>
            </w:r>
          </w:p>
        </w:tc>
        <w:tc>
          <w:tcPr>
            <w:tcW w:w="1584" w:type="dxa"/>
          </w:tcPr>
          <w:p w14:paraId="5DDB1FF1" wp14:textId="77777777">
            <w:r/>
            <w:r>
              <w:rPr>
                <w:sz w:val="20"/>
              </w:rPr>
              <w:t>June 2026</w:t>
            </w:r>
          </w:p>
        </w:tc>
      </w:tr>
      <w:tr xmlns:wp14="http://schemas.microsoft.com/office/word/2010/wordml" w14:paraId="457C736C" wp14:textId="77777777">
        <w:tc>
          <w:tcPr>
            <w:tcW w:w="3024" w:type="dxa"/>
          </w:tcPr>
          <w:p w14:paraId="7C32A771" wp14:textId="77777777">
            <w:r/>
            <w:r>
              <w:rPr>
                <w:sz w:val="20"/>
              </w:rPr>
              <w:t>Behavioral analysis</w:t>
            </w:r>
          </w:p>
        </w:tc>
        <w:tc>
          <w:tcPr>
            <w:tcW w:w="3312" w:type="dxa"/>
          </w:tcPr>
          <w:p w14:paraId="5D899C13" wp14:textId="77777777">
            <w:r/>
            <w:r>
              <w:rPr>
                <w:sz w:val="20"/>
              </w:rPr>
              <w:t>First-party site and CRM data</w:t>
            </w:r>
          </w:p>
        </w:tc>
        <w:tc>
          <w:tcPr>
            <w:tcW w:w="1440" w:type="dxa"/>
          </w:tcPr>
          <w:p w14:paraId="474AC1BF" wp14:textId="77777777">
            <w:r/>
            <w:r>
              <w:rPr>
                <w:sz w:val="20"/>
              </w:rPr>
              <w:t>1.2M sessions</w:t>
            </w:r>
          </w:p>
        </w:tc>
        <w:tc>
          <w:tcPr>
            <w:tcW w:w="1584" w:type="dxa"/>
          </w:tcPr>
          <w:p w14:paraId="4E516AFD" wp14:textId="77777777">
            <w:r/>
            <w:r>
              <w:rPr>
                <w:sz w:val="20"/>
              </w:rPr>
              <w:t>Jan–Jun 2026</w:t>
            </w:r>
          </w:p>
        </w:tc>
      </w:tr>
    </w:tbl>
    <w:p xmlns:wp14="http://schemas.microsoft.com/office/word/2010/wordml" w14:paraId="2717A80D" wp14:textId="77777777">
      <w:pPr>
        <w:spacing w:before="280" w:after="80"/>
      </w:pPr>
      <w:r>
        <w:rPr>
          <w:b/>
          <w:color w:val="1F3864"/>
          <w:sz w:val="27"/>
        </w:rPr>
        <w:t>Headline Findings</w:t>
      </w:r>
    </w:p>
    <w:p xmlns:wp14="http://schemas.microsoft.com/office/word/2010/wordml" w14:paraId="1635AA23" wp14:textId="77777777">
      <w:pPr>
        <w:spacing w:before="200" w:after="40"/>
      </w:pPr>
      <w:r>
        <w:rPr>
          <w:b/>
          <w:sz w:val="23"/>
        </w:rPr>
        <w:t>1. The 25–34 segment behaves fundamentally differently than we have assumed.</w:t>
      </w:r>
    </w:p>
    <w:p xmlns:wp14="http://schemas.microsoft.com/office/word/2010/wordml" w14:paraId="23AA5AEB" wp14:textId="77777777">
      <w:pPr>
        <w:spacing w:after="120"/>
      </w:pPr>
      <w:r>
        <w:rPr>
          <w:i w:val="0"/>
        </w:rPr>
        <w:t>Our current planning treats 25–34 as a younger extension of the 35–49 core. The data does not support this. The younger cohort shows materially lower price sensitivity and materially higher expectation of personalization. Promotional messaging that lifts response in the core segment produces a measurable negative response here — respondents described discount-led communication as "generic" and "a sign the brand doesn't know me."</w:t>
      </w:r>
    </w:p>
    <w:p xmlns:wp14="http://schemas.microsoft.com/office/word/2010/wordml" w14:paraId="6C8FABB7" wp14:textId="6CEE33BB">
      <w:pPr>
        <w:pStyle w:val="ListBullet"/>
        <w:spacing w:after="60"/>
        <w:ind w:left="432"/>
        <w:rPr/>
      </w:pPr>
      <w:r w:rsidR="1DC8F394">
        <w:rPr/>
        <w:t>71% of aged 25–34 respondents agreed they would engage more with a brand that "remembers their preferences," versus 44% of aged 35–49.</w:t>
      </w:r>
    </w:p>
    <w:p xmlns:wp14="http://schemas.microsoft.com/office/word/2010/wordml" w14:paraId="0F5BA046" wp14:textId="1234FB75">
      <w:pPr>
        <w:pStyle w:val="ListBullet"/>
        <w:spacing w:after="60"/>
        <w:ind w:left="432"/>
        <w:rPr/>
      </w:pPr>
      <w:r w:rsidR="1DC8F394">
        <w:rPr/>
        <w:t xml:space="preserve">Only 22% of aged </w:t>
      </w:r>
      <w:r w:rsidR="1DC8F394">
        <w:rPr/>
        <w:t xml:space="preserve">25–34 </w:t>
      </w:r>
      <w:r w:rsidR="1DC8F394">
        <w:rPr/>
        <w:t>r</w:t>
      </w:r>
      <w:r w:rsidR="1DC8F394">
        <w:rPr/>
        <w:t>espondents</w:t>
      </w:r>
      <w:r w:rsidR="1DC8F394">
        <w:rPr/>
        <w:t xml:space="preserve"> cited price as a primary purchase driver, versus 51% of aged group 35–49.</w:t>
      </w:r>
    </w:p>
    <w:p xmlns:wp14="http://schemas.microsoft.com/office/word/2010/wordml" w14:paraId="09FD132D" wp14:textId="77777777">
      <w:pPr>
        <w:pStyle w:val="ListBullet"/>
        <w:spacing w:after="60"/>
        <w:ind w:left="432"/>
        <w:rPr/>
      </w:pPr>
      <w:r w:rsidR="1DC8F394">
        <w:rPr/>
        <w:t>38% could not distinguish Northstar from its two closest competitors in an unbranded description test.</w:t>
      </w:r>
    </w:p>
    <w:p xmlns:wp14="http://schemas.microsoft.com/office/word/2010/wordml" w14:paraId="24E69625" wp14:textId="77777777">
      <w:pPr>
        <w:spacing w:before="200" w:after="40"/>
      </w:pPr>
      <w:r>
        <w:rPr>
          <w:b/>
          <w:sz w:val="23"/>
        </w:rPr>
        <w:t>2. The product finder is the single largest friction point in the digital journey.</w:t>
      </w:r>
    </w:p>
    <w:p xmlns:wp14="http://schemas.microsoft.com/office/word/2010/wordml" w14:paraId="139A05B7" wp14:textId="77777777">
      <w:pPr>
        <w:spacing w:after="120"/>
      </w:pPr>
      <w:r>
        <w:rPr>
          <w:i w:val="0"/>
        </w:rPr>
        <w:t>Behavioral data shows a 61% abandonment rate at the product finder step, well above the 34% benchmark for comparable category experiences. Qualitative sessions were unambiguous about why: the tool functions as a filter rather than a recommendation. Participants repeatedly described being asked questions they did not know how to answer.</w:t>
      </w:r>
    </w:p>
    <w:p xmlns:wp14="http://schemas.microsoft.com/office/word/2010/wordml" w14:paraId="4B210235" wp14:textId="77777777">
      <w:pPr>
        <w:pStyle w:val="ListBullet"/>
        <w:spacing w:after="60"/>
        <w:ind w:left="432"/>
        <w:rPr/>
      </w:pPr>
      <w:r w:rsidR="1DC8F394">
        <w:rPr/>
        <w:t>Median time on the finder before abandonment: 47 seconds.</w:t>
      </w:r>
    </w:p>
    <w:p xmlns:wp14="http://schemas.microsoft.com/office/word/2010/wordml" w14:paraId="7527AEC9" wp14:textId="77777777">
      <w:pPr>
        <w:pStyle w:val="ListBullet"/>
        <w:spacing w:after="60"/>
        <w:ind w:left="432"/>
        <w:rPr/>
      </w:pPr>
      <w:r w:rsidR="1DC8F394">
        <w:rPr/>
        <w:t>Sessions that complete the finder convert at 4.2x the site average.</w:t>
      </w:r>
    </w:p>
    <w:p xmlns:wp14="http://schemas.microsoft.com/office/word/2010/wordml" w14:paraId="77DB8247" wp14:textId="77777777">
      <w:pPr>
        <w:pStyle w:val="ListBullet"/>
        <w:spacing w:after="60"/>
        <w:ind w:left="432"/>
        <w:rPr/>
      </w:pPr>
      <w:r w:rsidR="1DC8F394">
        <w:rPr/>
        <w:t>Returning visitors receive an identical experience to first-time visitors — no recognition of prior behavior.</w:t>
      </w:r>
    </w:p>
    <w:p xmlns:wp14="http://schemas.microsoft.com/office/word/2010/wordml" w14:paraId="164B09D9" wp14:textId="77777777">
      <w:pPr>
        <w:spacing w:before="200" w:after="40"/>
      </w:pPr>
      <w:r>
        <w:rPr>
          <w:b/>
          <w:sz w:val="23"/>
        </w:rPr>
        <w:t>3. Channel preference has shifted faster than our media mix.</w:t>
      </w:r>
    </w:p>
    <w:p xmlns:wp14="http://schemas.microsoft.com/office/word/2010/wordml" w14:paraId="2DA03569" wp14:textId="77777777">
      <w:pPr>
        <w:spacing w:after="120"/>
      </w:pPr>
      <w:r>
        <w:rPr>
          <w:i w:val="0"/>
        </w:rPr>
        <w:t>Reach in the target segment is now concentrated in addressable and social channels, while approximately 58% of FY26 media spend remained in broadcast and non-addressable digital. This is the clearest efficiency gap identified in the study.</w:t>
      </w:r>
    </w:p>
    <w:tbl>
      <w:tblPr>
        <w:tblStyle w:val="TableGrid"/>
        <w:tblW w:w="0" w:type="auto"/>
        <w:jc w:val="left"/>
        <w:tblLook w:val="04A0" w:firstRow="1" w:lastRow="0" w:firstColumn="1" w:lastColumn="0" w:noHBand="0" w:noVBand="1"/>
      </w:tblPr>
      <w:tblGrid>
        <w:gridCol w:w="2340"/>
        <w:gridCol w:w="2340"/>
        <w:gridCol w:w="2340"/>
        <w:gridCol w:w="2340"/>
      </w:tblGrid>
      <w:tr xmlns:wp14="http://schemas.microsoft.com/office/word/2010/wordml" w14:paraId="7F06BF14" wp14:textId="77777777">
        <w:tc>
          <w:tcPr>
            <w:tcW w:w="2448" w:type="dxa"/>
          </w:tcPr>
          <w:p w14:paraId="39FB3276" wp14:textId="77777777">
            <w:r/>
            <w:r>
              <w:rPr>
                <w:b/>
                <w:sz w:val="20"/>
              </w:rPr>
              <w:t>Channel</w:t>
            </w:r>
          </w:p>
        </w:tc>
        <w:tc>
          <w:tcPr>
            <w:tcW w:w="2016" w:type="dxa"/>
          </w:tcPr>
          <w:p w14:paraId="110756DE" wp14:textId="77777777">
            <w:r/>
            <w:r>
              <w:rPr>
                <w:b/>
                <w:sz w:val="20"/>
              </w:rPr>
              <w:t>25–34 Reach</w:t>
            </w:r>
          </w:p>
        </w:tc>
        <w:tc>
          <w:tcPr>
            <w:tcW w:w="2016" w:type="dxa"/>
          </w:tcPr>
          <w:p w14:paraId="4B8F69B4" wp14:textId="77777777">
            <w:r/>
            <w:r>
              <w:rPr>
                <w:b/>
                <w:sz w:val="20"/>
              </w:rPr>
              <w:t>35–49 Reach</w:t>
            </w:r>
          </w:p>
        </w:tc>
        <w:tc>
          <w:tcPr>
            <w:tcW w:w="2592" w:type="dxa"/>
          </w:tcPr>
          <w:p w14:paraId="29063976" wp14:textId="77777777">
            <w:r/>
            <w:r>
              <w:rPr>
                <w:b/>
                <w:sz w:val="20"/>
              </w:rPr>
              <w:t>FY26 Spend Share</w:t>
            </w:r>
          </w:p>
        </w:tc>
      </w:tr>
      <w:tr xmlns:wp14="http://schemas.microsoft.com/office/word/2010/wordml" w14:paraId="497C6370" wp14:textId="77777777">
        <w:tc>
          <w:tcPr>
            <w:tcW w:w="2448" w:type="dxa"/>
          </w:tcPr>
          <w:p w14:paraId="6750028A" wp14:textId="77777777">
            <w:r/>
            <w:r>
              <w:rPr>
                <w:sz w:val="20"/>
              </w:rPr>
              <w:t>Paid social</w:t>
            </w:r>
          </w:p>
        </w:tc>
        <w:tc>
          <w:tcPr>
            <w:tcW w:w="2016" w:type="dxa"/>
          </w:tcPr>
          <w:p w14:paraId="035F0F82" wp14:textId="77777777">
            <w:r/>
            <w:r>
              <w:rPr>
                <w:sz w:val="20"/>
              </w:rPr>
              <w:t>78%</w:t>
            </w:r>
          </w:p>
        </w:tc>
        <w:tc>
          <w:tcPr>
            <w:tcW w:w="2016" w:type="dxa"/>
          </w:tcPr>
          <w:p w14:paraId="145F8C30" wp14:textId="77777777">
            <w:r/>
            <w:r>
              <w:rPr>
                <w:sz w:val="20"/>
              </w:rPr>
              <w:t>51%</w:t>
            </w:r>
          </w:p>
        </w:tc>
        <w:tc>
          <w:tcPr>
            <w:tcW w:w="2592" w:type="dxa"/>
          </w:tcPr>
          <w:p w14:paraId="43CFE7DB" wp14:textId="77777777">
            <w:r/>
            <w:r>
              <w:rPr>
                <w:sz w:val="20"/>
              </w:rPr>
              <w:t>19%</w:t>
            </w:r>
          </w:p>
        </w:tc>
      </w:tr>
      <w:tr xmlns:wp14="http://schemas.microsoft.com/office/word/2010/wordml" w14:paraId="17F8349E" wp14:textId="77777777">
        <w:tc>
          <w:tcPr>
            <w:tcW w:w="2448" w:type="dxa"/>
          </w:tcPr>
          <w:p w14:paraId="310C8486" wp14:textId="77777777">
            <w:r/>
            <w:r>
              <w:rPr>
                <w:sz w:val="20"/>
              </w:rPr>
              <w:t>Addressable / CTV</w:t>
            </w:r>
          </w:p>
        </w:tc>
        <w:tc>
          <w:tcPr>
            <w:tcW w:w="2016" w:type="dxa"/>
          </w:tcPr>
          <w:p w14:paraId="5E8F4525" wp14:textId="77777777">
            <w:r/>
            <w:r>
              <w:rPr>
                <w:sz w:val="20"/>
              </w:rPr>
              <w:t>64%</w:t>
            </w:r>
          </w:p>
        </w:tc>
        <w:tc>
          <w:tcPr>
            <w:tcW w:w="2016" w:type="dxa"/>
          </w:tcPr>
          <w:p w14:paraId="70DC1BAA" wp14:textId="77777777">
            <w:r/>
            <w:r>
              <w:rPr>
                <w:sz w:val="20"/>
              </w:rPr>
              <w:t>47%</w:t>
            </w:r>
          </w:p>
        </w:tc>
        <w:tc>
          <w:tcPr>
            <w:tcW w:w="2592" w:type="dxa"/>
          </w:tcPr>
          <w:p w14:paraId="75974B23" wp14:textId="77777777">
            <w:r/>
            <w:r>
              <w:rPr>
                <w:sz w:val="20"/>
              </w:rPr>
              <w:t>12%</w:t>
            </w:r>
          </w:p>
        </w:tc>
      </w:tr>
      <w:tr xmlns:wp14="http://schemas.microsoft.com/office/word/2010/wordml" w14:paraId="25D67486" wp14:textId="77777777">
        <w:tc>
          <w:tcPr>
            <w:tcW w:w="2448" w:type="dxa"/>
          </w:tcPr>
          <w:p w14:paraId="147DAAB2" wp14:textId="77777777">
            <w:r/>
            <w:r>
              <w:rPr>
                <w:sz w:val="20"/>
              </w:rPr>
              <w:t>Search</w:t>
            </w:r>
          </w:p>
        </w:tc>
        <w:tc>
          <w:tcPr>
            <w:tcW w:w="2016" w:type="dxa"/>
          </w:tcPr>
          <w:p w14:paraId="052A8AFF" wp14:textId="77777777">
            <w:r/>
            <w:r>
              <w:rPr>
                <w:sz w:val="20"/>
              </w:rPr>
              <w:t>55%</w:t>
            </w:r>
          </w:p>
        </w:tc>
        <w:tc>
          <w:tcPr>
            <w:tcW w:w="2016" w:type="dxa"/>
          </w:tcPr>
          <w:p w14:paraId="15AEF455" wp14:textId="77777777">
            <w:r/>
            <w:r>
              <w:rPr>
                <w:sz w:val="20"/>
              </w:rPr>
              <w:t>58%</w:t>
            </w:r>
          </w:p>
        </w:tc>
        <w:tc>
          <w:tcPr>
            <w:tcW w:w="2592" w:type="dxa"/>
          </w:tcPr>
          <w:p w14:paraId="3E5E850A" wp14:textId="77777777">
            <w:r/>
            <w:r>
              <w:rPr>
                <w:sz w:val="20"/>
              </w:rPr>
              <w:t>11%</w:t>
            </w:r>
          </w:p>
        </w:tc>
      </w:tr>
      <w:tr xmlns:wp14="http://schemas.microsoft.com/office/word/2010/wordml" w14:paraId="40FE0D04" wp14:textId="77777777">
        <w:tc>
          <w:tcPr>
            <w:tcW w:w="2448" w:type="dxa"/>
          </w:tcPr>
          <w:p w14:paraId="71F48152" wp14:textId="77777777">
            <w:r/>
            <w:r>
              <w:rPr>
                <w:sz w:val="20"/>
              </w:rPr>
              <w:t>Email / owned</w:t>
            </w:r>
          </w:p>
        </w:tc>
        <w:tc>
          <w:tcPr>
            <w:tcW w:w="2016" w:type="dxa"/>
          </w:tcPr>
          <w:p w14:paraId="56AA8F03" wp14:textId="77777777">
            <w:r/>
            <w:r>
              <w:rPr>
                <w:sz w:val="20"/>
              </w:rPr>
              <w:t>41%</w:t>
            </w:r>
          </w:p>
        </w:tc>
        <w:tc>
          <w:tcPr>
            <w:tcW w:w="2016" w:type="dxa"/>
          </w:tcPr>
          <w:p w14:paraId="5B7E48BC" wp14:textId="77777777">
            <w:r/>
            <w:r>
              <w:rPr>
                <w:sz w:val="20"/>
              </w:rPr>
              <w:t>62%</w:t>
            </w:r>
          </w:p>
        </w:tc>
        <w:tc>
          <w:tcPr>
            <w:tcW w:w="2592" w:type="dxa"/>
          </w:tcPr>
          <w:p w14:paraId="5D231CA4" wp14:textId="77777777">
            <w:r/>
            <w:r>
              <w:rPr>
                <w:sz w:val="20"/>
              </w:rPr>
              <w:t>3%</w:t>
            </w:r>
          </w:p>
        </w:tc>
      </w:tr>
      <w:tr xmlns:wp14="http://schemas.microsoft.com/office/word/2010/wordml" w14:paraId="51BD176D" wp14:textId="77777777">
        <w:tc>
          <w:tcPr>
            <w:tcW w:w="2448" w:type="dxa"/>
          </w:tcPr>
          <w:p w14:paraId="5BAC771A" wp14:textId="77777777">
            <w:r/>
            <w:r>
              <w:rPr>
                <w:sz w:val="20"/>
              </w:rPr>
              <w:t>Broadcast</w:t>
            </w:r>
          </w:p>
        </w:tc>
        <w:tc>
          <w:tcPr>
            <w:tcW w:w="2016" w:type="dxa"/>
          </w:tcPr>
          <w:p w14:paraId="78981D12" wp14:textId="77777777">
            <w:r/>
            <w:r>
              <w:rPr>
                <w:sz w:val="20"/>
              </w:rPr>
              <w:t>22%</w:t>
            </w:r>
          </w:p>
        </w:tc>
        <w:tc>
          <w:tcPr>
            <w:tcW w:w="2016" w:type="dxa"/>
          </w:tcPr>
          <w:p w14:paraId="44AD4A62" wp14:textId="77777777">
            <w:r/>
            <w:r>
              <w:rPr>
                <w:sz w:val="20"/>
              </w:rPr>
              <w:t>59%</w:t>
            </w:r>
          </w:p>
        </w:tc>
        <w:tc>
          <w:tcPr>
            <w:tcW w:w="2592" w:type="dxa"/>
          </w:tcPr>
          <w:p w14:paraId="59A39CC1" wp14:textId="77777777">
            <w:r/>
            <w:r>
              <w:rPr>
                <w:sz w:val="20"/>
              </w:rPr>
              <w:t>38%</w:t>
            </w:r>
          </w:p>
        </w:tc>
      </w:tr>
      <w:tr xmlns:wp14="http://schemas.microsoft.com/office/word/2010/wordml" w14:paraId="0A75761C" wp14:textId="77777777">
        <w:tc>
          <w:tcPr>
            <w:tcW w:w="2448" w:type="dxa"/>
          </w:tcPr>
          <w:p w14:paraId="6712BEDE" wp14:textId="77777777">
            <w:r/>
            <w:r>
              <w:rPr>
                <w:sz w:val="20"/>
              </w:rPr>
              <w:t>Print / OOH</w:t>
            </w:r>
          </w:p>
        </w:tc>
        <w:tc>
          <w:tcPr>
            <w:tcW w:w="2016" w:type="dxa"/>
          </w:tcPr>
          <w:p w14:paraId="06B8EE5E" wp14:textId="77777777">
            <w:r/>
            <w:r>
              <w:rPr>
                <w:sz w:val="20"/>
              </w:rPr>
              <w:t>9%</w:t>
            </w:r>
          </w:p>
        </w:tc>
        <w:tc>
          <w:tcPr>
            <w:tcW w:w="2016" w:type="dxa"/>
          </w:tcPr>
          <w:p w14:paraId="4AF49237" wp14:textId="77777777">
            <w:r/>
            <w:r>
              <w:rPr>
                <w:sz w:val="20"/>
              </w:rPr>
              <w:t>28%</w:t>
            </w:r>
          </w:p>
        </w:tc>
        <w:tc>
          <w:tcPr>
            <w:tcW w:w="2592" w:type="dxa"/>
          </w:tcPr>
          <w:p w14:paraId="006D7059" wp14:textId="77777777">
            <w:r/>
            <w:r>
              <w:rPr>
                <w:sz w:val="20"/>
              </w:rPr>
              <w:t>17%</w:t>
            </w:r>
          </w:p>
        </w:tc>
      </w:tr>
    </w:tbl>
    <w:p xmlns:wp14="http://schemas.microsoft.com/office/word/2010/wordml" w14:paraId="75A896AC" wp14:textId="77777777">
      <w:pPr>
        <w:spacing w:before="200" w:after="40"/>
      </w:pPr>
      <w:r>
        <w:rPr>
          <w:b/>
          <w:sz w:val="23"/>
        </w:rPr>
        <w:t>4. Consumers will trade data for relevance — conditionally.</w:t>
      </w:r>
    </w:p>
    <w:p xmlns:wp14="http://schemas.microsoft.com/office/word/2010/wordml" w14:paraId="27130424" wp14:textId="77777777">
      <w:pPr>
        <w:spacing w:after="120"/>
      </w:pPr>
      <w:r>
        <w:rPr>
          <w:i w:val="0"/>
        </w:rPr>
        <w:t>Willingness to share preference data is high, but it is contingent on visible reciprocity. Respondents distinguished sharply between data used to improve their experience and data used to target them. The phrase that recurred across sessions was "tell me what you're doing with it."</w:t>
      </w:r>
    </w:p>
    <w:p xmlns:wp14="http://schemas.microsoft.com/office/word/2010/wordml" w14:paraId="10BC944C" wp14:textId="77777777">
      <w:pPr>
        <w:pStyle w:val="ListBullet"/>
        <w:spacing w:after="60"/>
        <w:ind w:left="432"/>
        <w:rPr/>
      </w:pPr>
      <w:r w:rsidR="1DC8F394">
        <w:rPr/>
        <w:t>66% would share purchase history for tailored recommendations.</w:t>
      </w:r>
    </w:p>
    <w:p xmlns:wp14="http://schemas.microsoft.com/office/word/2010/wordml" w14:paraId="57F2FC17" wp14:textId="77777777">
      <w:pPr>
        <w:pStyle w:val="ListBullet"/>
        <w:spacing w:after="60"/>
        <w:ind w:left="432"/>
        <w:rPr/>
      </w:pPr>
      <w:r w:rsidR="1DC8F394">
        <w:rPr/>
        <w:t>Willingness drops to 29% when the stated use is "personalized offers."</w:t>
      </w:r>
    </w:p>
    <w:p xmlns:wp14="http://schemas.microsoft.com/office/word/2010/wordml" w14:paraId="563CEF28" wp14:textId="77777777">
      <w:pPr>
        <w:pStyle w:val="ListBullet"/>
        <w:spacing w:after="60"/>
        <w:ind w:left="432"/>
        <w:rPr/>
      </w:pPr>
      <w:r w:rsidR="1DC8F394">
        <w:rPr/>
        <w:t>Transparency about data use raised stated trust by 24 points.</w:t>
      </w:r>
    </w:p>
    <w:p xmlns:wp14="http://schemas.microsoft.com/office/word/2010/wordml" w14:paraId="0EA5F843" wp14:textId="77777777">
      <w:pPr>
        <w:spacing w:before="280" w:after="80"/>
      </w:pPr>
      <w:r>
        <w:rPr>
          <w:b/>
          <w:color w:val="1F3864"/>
          <w:sz w:val="27"/>
        </w:rPr>
        <w:t>Implications for the Relaunch</w:t>
      </w:r>
    </w:p>
    <w:p xmlns:wp14="http://schemas.microsoft.com/office/word/2010/wordml" w14:paraId="1D8FC667" wp14:textId="77777777">
      <w:pPr>
        <w:pStyle w:val="ListBullet"/>
        <w:spacing w:after="60"/>
        <w:ind w:left="432"/>
        <w:rPr/>
      </w:pPr>
      <w:r w:rsidR="1DC8F394">
        <w:rPr/>
        <w:t>The personalization thesis is supported by the data, but it must be delivered as utility rather than as targeting.</w:t>
      </w:r>
    </w:p>
    <w:p xmlns:wp14="http://schemas.microsoft.com/office/word/2010/wordml" w14:paraId="14CA6CE2" wp14:textId="77777777">
      <w:pPr>
        <w:pStyle w:val="ListBullet"/>
        <w:spacing w:after="60"/>
        <w:ind w:left="432"/>
        <w:rPr/>
      </w:pPr>
      <w:r w:rsidR="1DC8F394">
        <w:rPr/>
        <w:t>The product finder rebuild is the highest-leverage single investment identified in this study.</w:t>
      </w:r>
    </w:p>
    <w:p xmlns:wp14="http://schemas.microsoft.com/office/word/2010/wordml" w14:paraId="6A352D14" wp14:textId="77777777">
      <w:pPr>
        <w:pStyle w:val="ListBullet"/>
        <w:spacing w:after="60"/>
        <w:ind w:left="432"/>
        <w:rPr/>
      </w:pPr>
      <w:r w:rsidR="1DC8F394">
        <w:rPr/>
        <w:t>Media mix requires a material shift toward addressable channels; current allocation is misaligned with where the target segment is reachable.</w:t>
      </w:r>
    </w:p>
    <w:p xmlns:wp14="http://schemas.microsoft.com/office/word/2010/wordml" w14:paraId="7374313D" wp14:textId="77777777">
      <w:pPr>
        <w:pStyle w:val="ListBullet"/>
        <w:spacing w:after="60"/>
        <w:ind w:left="432"/>
        <w:rPr/>
      </w:pPr>
      <w:r w:rsidR="1DC8F394">
        <w:rPr/>
        <w:t>Credibility is a real constraint. Prior personalization commitments were not delivered, and a portion of the segment is already skeptical.</w:t>
      </w:r>
    </w:p>
    <w:p xmlns:wp14="http://schemas.microsoft.com/office/word/2010/wordml" w14:paraId="462FCC2C" wp14:textId="77777777">
      <w:pPr>
        <w:spacing w:before="280" w:after="80"/>
      </w:pPr>
      <w:r>
        <w:rPr>
          <w:b/>
          <w:color w:val="1F3864"/>
          <w:sz w:val="27"/>
        </w:rPr>
        <w:t>Open Questions</w:t>
      </w:r>
    </w:p>
    <w:p xmlns:wp14="http://schemas.microsoft.com/office/word/2010/wordml" w14:paraId="10A6B5F0" wp14:textId="77777777">
      <w:pPr>
        <w:pStyle w:val="ListBullet"/>
        <w:spacing w:after="60"/>
        <w:ind w:left="432"/>
        <w:rPr/>
      </w:pPr>
      <w:r w:rsidR="1DC8F394">
        <w:rPr/>
        <w:t>What level of data infrastructure is genuinely required for a v1 experience, versus a mature-state experience?</w:t>
      </w:r>
    </w:p>
    <w:p xmlns:wp14="http://schemas.microsoft.com/office/word/2010/wordml" w14:paraId="67F99463" wp14:textId="77777777">
      <w:pPr>
        <w:pStyle w:val="ListBullet"/>
        <w:spacing w:after="60"/>
        <w:ind w:left="432"/>
        <w:rPr/>
      </w:pPr>
      <w:r w:rsidR="1DC8F394">
        <w:rPr/>
        <w:t>Can loyalty program data be integrated within the campaign window, or does that dependency need to be sequenced later?</w:t>
      </w:r>
    </w:p>
    <w:p xmlns:wp14="http://schemas.microsoft.com/office/word/2010/wordml" w14:paraId="15DEC5FE" wp14:textId="77777777">
      <w:pPr>
        <w:pStyle w:val="ListBullet"/>
        <w:spacing w:after="60"/>
        <w:ind w:left="432"/>
        <w:rPr/>
      </w:pPr>
      <w:r w:rsidR="1DC8F394">
        <w:rPr/>
        <w:t>What is the legal and privacy review path for the intended data usage? This has not yet been initiated.</w:t>
      </w:r>
    </w:p>
    <w:p xmlns:wp14="http://schemas.microsoft.com/office/word/2010/wordml" w14:paraId="672A6659" wp14:textId="77777777"/>
    <w:p xmlns:wp14="http://schemas.microsoft.com/office/word/2010/wordml" w14:paraId="6FE243F6" wp14:textId="77777777">
      <w:pPr>
        <w:spacing w:after="120"/>
      </w:pPr>
      <w:r>
        <w:rPr>
          <w:i/>
          <w:color w:val="595959"/>
          <w:sz w:val="19"/>
        </w:rPr>
        <w:t>Fictional content created for Microsoft 365 Copilot demonstration purposes. All companies, people, figures, and research findings are invented and do not represent real data.</w:t>
      </w:r>
    </w:p>
    <w:sectPr w:rsidRPr="0006063C" w:rsidR="00FC693F" w:rsidSect="0003461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9">
    <w:nsid w:val="116038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DC8F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7B2FD55A-F70D-4DB0-B1F3-90F7372962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Carlos Slattery</lastModifiedBy>
  <revision>2</revision>
  <dcterms:created xsi:type="dcterms:W3CDTF">2013-12-23T23:15:00.0000000Z</dcterms:created>
  <dcterms:modified xsi:type="dcterms:W3CDTF">2026-08-25T17:35:17.4699081Z</dcterms:modified>
  <category/>
</coreProperties>
</file>